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4A0EA" w14:textId="77777777" w:rsidR="002A5727" w:rsidRDefault="009F2C1A">
      <w:pPr>
        <w:rPr>
          <w:b/>
          <w:sz w:val="28"/>
          <w:szCs w:val="28"/>
        </w:rPr>
      </w:pPr>
      <w:r w:rsidRPr="009F2C1A">
        <w:rPr>
          <w:b/>
          <w:sz w:val="28"/>
          <w:szCs w:val="28"/>
        </w:rPr>
        <w:t>FORNER Werner</w:t>
      </w:r>
    </w:p>
    <w:p w14:paraId="20AE05FB" w14:textId="77777777" w:rsidR="009F2C1A" w:rsidRPr="009F2C1A" w:rsidRDefault="009F2C1A">
      <w:pPr>
        <w:rPr>
          <w:b/>
          <w:sz w:val="28"/>
          <w:szCs w:val="28"/>
        </w:rPr>
      </w:pPr>
    </w:p>
    <w:p w14:paraId="4F2820E9" w14:textId="4A4B2F6E" w:rsidR="009F2C1A" w:rsidRPr="009F2C1A" w:rsidRDefault="002526B3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Publications ‘langues dialectales’</w:t>
      </w:r>
      <w:r w:rsidR="002103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1031C">
        <w:rPr>
          <w:b/>
          <w:sz w:val="28"/>
          <w:szCs w:val="28"/>
        </w:rPr>
        <w:t xml:space="preserve"> 2015 à 2021</w:t>
      </w:r>
    </w:p>
    <w:p w14:paraId="5183635C" w14:textId="77777777" w:rsidR="009F2C1A" w:rsidRDefault="009F2C1A"/>
    <w:p w14:paraId="38879CA9" w14:textId="77777777" w:rsidR="009F2C1A" w:rsidRDefault="009F2C1A"/>
    <w:p w14:paraId="4591C9E0" w14:textId="77777777" w:rsidR="009F2C1A" w:rsidRPr="009275CB" w:rsidRDefault="009F2C1A" w:rsidP="009F2C1A">
      <w:pPr>
        <w:rPr>
          <w:rFonts w:ascii="Times New Roman" w:hAnsi="Times New Roman"/>
          <w:szCs w:val="24"/>
        </w:rPr>
      </w:pPr>
      <w:r w:rsidRPr="009275CB">
        <w:rPr>
          <w:rFonts w:ascii="Times New Roman" w:hAnsi="Times New Roman"/>
          <w:szCs w:val="24"/>
        </w:rPr>
        <w:t>2015</w:t>
      </w:r>
    </w:p>
    <w:p w14:paraId="04FA5EFC" w14:textId="77777777" w:rsidR="009F2C1A" w:rsidRDefault="009F2C1A" w:rsidP="009F2C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275CB">
        <w:rPr>
          <w:rFonts w:ascii="Times New Roman" w:hAnsi="Times New Roman"/>
          <w:i/>
          <w:szCs w:val="24"/>
        </w:rPr>
        <w:t>Nomenklaturen der Weidewirtschaft in den Südalpen</w:t>
      </w:r>
      <w:r>
        <w:rPr>
          <w:rFonts w:ascii="Times New Roman" w:hAnsi="Times New Roman"/>
          <w:szCs w:val="24"/>
        </w:rPr>
        <w:t xml:space="preserve">. </w:t>
      </w:r>
    </w:p>
    <w:p w14:paraId="141A9D66" w14:textId="77777777" w:rsidR="009F2C1A" w:rsidRPr="009275CB" w:rsidRDefault="009F2C1A" w:rsidP="009F2C1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In: </w:t>
      </w:r>
      <w:r w:rsidRPr="009275CB">
        <w:rPr>
          <w:rFonts w:ascii="Times New Roman" w:hAnsi="Times New Roman"/>
          <w:szCs w:val="24"/>
        </w:rPr>
        <w:t xml:space="preserve">Kahl, </w:t>
      </w:r>
      <w:r>
        <w:rPr>
          <w:rFonts w:ascii="Times New Roman" w:hAnsi="Times New Roman"/>
          <w:szCs w:val="24"/>
        </w:rPr>
        <w:t xml:space="preserve"> Thede &amp; </w:t>
      </w:r>
      <w:r w:rsidRPr="009275CB">
        <w:rPr>
          <w:rFonts w:ascii="Times New Roman" w:hAnsi="Times New Roman"/>
          <w:szCs w:val="24"/>
        </w:rPr>
        <w:t>Kramer, Johan</w:t>
      </w:r>
      <w:r>
        <w:rPr>
          <w:rFonts w:ascii="Times New Roman" w:hAnsi="Times New Roman"/>
          <w:szCs w:val="24"/>
        </w:rPr>
        <w:t xml:space="preserve">nes &amp; Prifti, </w:t>
      </w:r>
      <w:r w:rsidRPr="009275CB">
        <w:rPr>
          <w:rFonts w:ascii="Times New Roman" w:hAnsi="Times New Roman"/>
          <w:szCs w:val="24"/>
        </w:rPr>
        <w:t xml:space="preserve">Elton (eds.), Romanica et Balcanica. </w:t>
      </w:r>
      <w:r>
        <w:rPr>
          <w:rFonts w:ascii="Times New Roman" w:hAnsi="Times New Roman"/>
          <w:szCs w:val="24"/>
        </w:rPr>
        <w:tab/>
      </w:r>
      <w:r w:rsidRPr="009275CB">
        <w:rPr>
          <w:rFonts w:ascii="Times New Roman" w:hAnsi="Times New Roman"/>
          <w:szCs w:val="24"/>
        </w:rPr>
        <w:t xml:space="preserve">Wolfgang Dahmen zum 65. Geburtstag. München, </w:t>
      </w:r>
      <w:r w:rsidRPr="009275CB">
        <w:rPr>
          <w:rFonts w:ascii="Times New Roman" w:hAnsi="Times New Roman"/>
          <w:szCs w:val="24"/>
        </w:rPr>
        <w:tab/>
        <w:t xml:space="preserve">AVM.edition (Jenaer Beiträge zur </w:t>
      </w:r>
      <w:r>
        <w:rPr>
          <w:rFonts w:ascii="Times New Roman" w:hAnsi="Times New Roman"/>
          <w:szCs w:val="24"/>
        </w:rPr>
        <w:tab/>
      </w:r>
      <w:r w:rsidRPr="009275CB">
        <w:rPr>
          <w:rFonts w:ascii="Times New Roman" w:hAnsi="Times New Roman"/>
          <w:szCs w:val="24"/>
        </w:rPr>
        <w:t>Romanistik 7), 235-264.</w:t>
      </w:r>
    </w:p>
    <w:p w14:paraId="5C152034" w14:textId="77777777" w:rsidR="009F2C1A" w:rsidRDefault="009F2C1A" w:rsidP="009F2C1A">
      <w:pPr>
        <w:ind w:right="-472"/>
        <w:jc w:val="both"/>
        <w:rPr>
          <w:rFonts w:ascii="Times" w:hAnsi="Times"/>
          <w:lang w:val="it-IT"/>
        </w:rPr>
      </w:pPr>
    </w:p>
    <w:p w14:paraId="3181560A" w14:textId="77777777" w:rsidR="009F2C1A" w:rsidRPr="00FA01C4" w:rsidRDefault="009F2C1A" w:rsidP="009F2C1A">
      <w:pPr>
        <w:ind w:right="-472"/>
        <w:jc w:val="both"/>
        <w:rPr>
          <w:rFonts w:ascii="Times" w:hAnsi="Times"/>
          <w:i/>
          <w:lang w:val="it-IT"/>
        </w:rPr>
      </w:pPr>
      <w:r w:rsidRPr="00FA01C4">
        <w:rPr>
          <w:rFonts w:ascii="Times" w:hAnsi="Times"/>
          <w:i/>
          <w:lang w:val="it-IT"/>
        </w:rPr>
        <w:t xml:space="preserve">Correnti di lingua nelle Alpi Marittime. </w:t>
      </w:r>
    </w:p>
    <w:p w14:paraId="49CE8DBB" w14:textId="77777777" w:rsidR="009F2C1A" w:rsidRDefault="009F2C1A" w:rsidP="009F2C1A">
      <w:pPr>
        <w:ind w:right="-472" w:firstLine="708"/>
        <w:jc w:val="both"/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 xml:space="preserve">In:  Filipponio, Lorenzo &amp; Seidl, Christian (edd.), </w:t>
      </w:r>
      <w:r>
        <w:rPr>
          <w:rFonts w:ascii="Times" w:hAnsi="Times"/>
          <w:i/>
          <w:lang w:val="it-IT"/>
        </w:rPr>
        <w:t xml:space="preserve">Le lingue d’Italia e le altre. Contatti, </w:t>
      </w:r>
      <w:r>
        <w:rPr>
          <w:rFonts w:ascii="Times" w:hAnsi="Times"/>
          <w:i/>
          <w:lang w:val="it-IT"/>
        </w:rPr>
        <w:tab/>
        <w:t>sostrati e superstrati nella storia linguistica della Penisola</w:t>
      </w:r>
      <w:r>
        <w:rPr>
          <w:rFonts w:ascii="Times" w:hAnsi="Times"/>
          <w:lang w:val="it-IT"/>
        </w:rPr>
        <w:t xml:space="preserve">. </w:t>
      </w:r>
      <w:r>
        <w:rPr>
          <w:rFonts w:ascii="Times" w:hAnsi="Times"/>
          <w:i/>
          <w:lang w:val="it-IT"/>
        </w:rPr>
        <w:t xml:space="preserve">Atti del Convegno di Zurigo </w:t>
      </w:r>
      <w:r>
        <w:rPr>
          <w:rFonts w:ascii="Times" w:hAnsi="Times"/>
          <w:i/>
          <w:lang w:val="it-IT"/>
        </w:rPr>
        <w:tab/>
        <w:t xml:space="preserve">25-26 nov. 2010. </w:t>
      </w:r>
      <w:r>
        <w:rPr>
          <w:rFonts w:ascii="Times" w:hAnsi="Times"/>
          <w:lang w:val="it-IT"/>
        </w:rPr>
        <w:t xml:space="preserve"> Pavia, Francoangeli, 227-248.</w:t>
      </w:r>
    </w:p>
    <w:p w14:paraId="14201F72" w14:textId="77777777" w:rsidR="009F2C1A" w:rsidRDefault="009F2C1A" w:rsidP="009F2C1A">
      <w:pPr>
        <w:rPr>
          <w:szCs w:val="24"/>
          <w:lang w:val="cs-CZ"/>
        </w:rPr>
      </w:pPr>
    </w:p>
    <w:p w14:paraId="2F630A18" w14:textId="77777777" w:rsidR="009F2C1A" w:rsidRPr="008A2261" w:rsidRDefault="009F2C1A" w:rsidP="009F2C1A">
      <w:pPr>
        <w:rPr>
          <w:szCs w:val="24"/>
          <w:lang w:val="cs-CZ"/>
        </w:rPr>
      </w:pPr>
      <w:r>
        <w:rPr>
          <w:szCs w:val="24"/>
          <w:lang w:val="cs-CZ"/>
        </w:rPr>
        <w:t>2016</w:t>
      </w:r>
    </w:p>
    <w:p w14:paraId="0586FE9C" w14:textId="77777777" w:rsidR="009F2C1A" w:rsidRDefault="009F2C1A" w:rsidP="009F2C1A">
      <w:pPr>
        <w:ind w:right="-472"/>
        <w:jc w:val="both"/>
        <w:rPr>
          <w:rFonts w:ascii="Times New Roman" w:hAnsi="Times New Roman"/>
          <w:szCs w:val="24"/>
        </w:rPr>
      </w:pPr>
      <w:r w:rsidRPr="00FA01C4">
        <w:rPr>
          <w:rFonts w:ascii="Times New Roman" w:hAnsi="Times New Roman"/>
          <w:i/>
          <w:szCs w:val="24"/>
        </w:rPr>
        <w:t>Das mentonaskische Verbalsystem: eine vergleichende Analyse</w:t>
      </w:r>
      <w:r>
        <w:rPr>
          <w:rFonts w:ascii="Times New Roman" w:hAnsi="Times New Roman"/>
          <w:szCs w:val="24"/>
        </w:rPr>
        <w:t xml:space="preserve">.  </w:t>
      </w:r>
    </w:p>
    <w:p w14:paraId="26E24984" w14:textId="77777777" w:rsidR="009F2C1A" w:rsidRDefault="009F2C1A" w:rsidP="009F2C1A">
      <w:pPr>
        <w:ind w:right="-472"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In:  Dahmen, Wolfgang et al. (edd.): Romanische Kleinsprachen heute. RK 27 (Jena, </w:t>
      </w:r>
      <w:r>
        <w:rPr>
          <w:rFonts w:ascii="Times" w:hAnsi="Times"/>
        </w:rPr>
        <w:tab/>
      </w:r>
      <w:r>
        <w:rPr>
          <w:rFonts w:ascii="Times" w:hAnsi="Times"/>
        </w:rPr>
        <w:tab/>
        <w:t>7.-9.VI 2012)</w:t>
      </w:r>
      <w:r>
        <w:rPr>
          <w:rFonts w:ascii="Times" w:hAnsi="Times"/>
          <w:i/>
        </w:rPr>
        <w:t xml:space="preserve">. </w:t>
      </w:r>
      <w:r>
        <w:rPr>
          <w:rFonts w:ascii="Times" w:hAnsi="Times"/>
        </w:rPr>
        <w:t>Tübingen (Narr) 2016, 149-196.</w:t>
      </w:r>
    </w:p>
    <w:p w14:paraId="522B1230" w14:textId="77777777" w:rsidR="009F2C1A" w:rsidRPr="00A21E95" w:rsidRDefault="009F2C1A" w:rsidP="009F2C1A">
      <w:pPr>
        <w:rPr>
          <w:b/>
          <w:szCs w:val="24"/>
        </w:rPr>
      </w:pPr>
    </w:p>
    <w:p w14:paraId="59658EFB" w14:textId="77777777" w:rsidR="009F2C1A" w:rsidRPr="00A21E95" w:rsidRDefault="009F2C1A" w:rsidP="009F2C1A">
      <w:pPr>
        <w:rPr>
          <w:i/>
          <w:szCs w:val="24"/>
        </w:rPr>
      </w:pPr>
      <w:r w:rsidRPr="00A21E95">
        <w:rPr>
          <w:i/>
          <w:szCs w:val="24"/>
        </w:rPr>
        <w:t>I dialetti liguri. Una multivaga variazione.</w:t>
      </w:r>
    </w:p>
    <w:p w14:paraId="282B2154" w14:textId="77777777" w:rsidR="009F2C1A" w:rsidRDefault="009F2C1A" w:rsidP="009F2C1A">
      <w:r>
        <w:tab/>
        <w:t>In:</w:t>
      </w:r>
      <w:r>
        <w:rPr>
          <w:szCs w:val="24"/>
        </w:rPr>
        <w:t xml:space="preserve">  </w:t>
      </w:r>
      <w:r>
        <w:t xml:space="preserve">Rita Caprini (ed.), </w:t>
      </w:r>
      <w:r w:rsidRPr="00333D48">
        <w:rPr>
          <w:i/>
          <w:iCs/>
        </w:rPr>
        <w:t xml:space="preserve">L’intrico dei pensieri di chi resta. Scritti in memoria di Giulia </w:t>
      </w:r>
      <w:r>
        <w:rPr>
          <w:i/>
          <w:iCs/>
        </w:rPr>
        <w:tab/>
      </w:r>
      <w:r w:rsidRPr="00333D48">
        <w:rPr>
          <w:i/>
          <w:iCs/>
        </w:rPr>
        <w:t>Petracco Sicardi</w:t>
      </w:r>
      <w:r>
        <w:t>.</w:t>
      </w:r>
      <w:r>
        <w:rPr>
          <w:szCs w:val="24"/>
        </w:rPr>
        <w:t xml:space="preserve"> </w:t>
      </w:r>
      <w:r>
        <w:t>Alessandra, Ed. dell’Orso, 2016, pp. 103-119.</w:t>
      </w:r>
    </w:p>
    <w:p w14:paraId="19AA6DCF" w14:textId="77777777" w:rsidR="009F2C1A" w:rsidRDefault="009F2C1A" w:rsidP="009F2C1A"/>
    <w:p w14:paraId="3A434CF5" w14:textId="77777777" w:rsidR="009F2C1A" w:rsidRDefault="009F2C1A" w:rsidP="009F2C1A">
      <w:r>
        <w:t>2017</w:t>
      </w:r>
    </w:p>
    <w:p w14:paraId="42EC13AB" w14:textId="77777777" w:rsidR="009F2C1A" w:rsidRPr="00A21E95" w:rsidRDefault="009F2C1A" w:rsidP="009F2C1A">
      <w:pPr>
        <w:rPr>
          <w:szCs w:val="24"/>
        </w:rPr>
      </w:pPr>
      <w:r>
        <w:rPr>
          <w:szCs w:val="24"/>
        </w:rPr>
        <w:t xml:space="preserve">Rec.:  Toso,F. (2014): </w:t>
      </w:r>
      <w:r w:rsidRPr="00F14F01">
        <w:rPr>
          <w:i/>
          <w:iCs/>
          <w:szCs w:val="24"/>
        </w:rPr>
        <w:t xml:space="preserve">Le parlate liguri della Provenza. Il dialetto ‚figun’ tra storia e </w:t>
      </w:r>
      <w:r>
        <w:rPr>
          <w:i/>
          <w:iCs/>
          <w:szCs w:val="24"/>
        </w:rPr>
        <w:tab/>
      </w:r>
      <w:r w:rsidRPr="00F14F01">
        <w:rPr>
          <w:i/>
          <w:iCs/>
          <w:szCs w:val="24"/>
        </w:rPr>
        <w:t>memoria</w:t>
      </w:r>
      <w:r>
        <w:rPr>
          <w:szCs w:val="24"/>
        </w:rPr>
        <w:t>. In: Estudis Romanics 39, 578-580.</w:t>
      </w:r>
    </w:p>
    <w:p w14:paraId="75BB5797" w14:textId="77777777" w:rsidR="009F2C1A" w:rsidRDefault="009F2C1A" w:rsidP="009F2C1A">
      <w:pPr>
        <w:rPr>
          <w:rFonts w:ascii="Times New Roman" w:hAnsi="Times New Roman"/>
          <w:szCs w:val="24"/>
          <w:lang w:val="it-IT"/>
        </w:rPr>
      </w:pPr>
    </w:p>
    <w:p w14:paraId="2F1C3F35" w14:textId="77777777" w:rsidR="009F2C1A" w:rsidRDefault="009F2C1A" w:rsidP="009F2C1A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2018</w:t>
      </w:r>
    </w:p>
    <w:p w14:paraId="69B197C3" w14:textId="77777777" w:rsidR="009F2C1A" w:rsidRPr="002E0BC3" w:rsidRDefault="009F2C1A" w:rsidP="009F2C1A">
      <w:pPr>
        <w:rPr>
          <w:rFonts w:ascii="Times New Roman" w:hAnsi="Times New Roman"/>
          <w:szCs w:val="24"/>
          <w:lang w:val="it-IT"/>
        </w:rPr>
      </w:pPr>
      <w:r w:rsidRPr="00F14F01">
        <w:rPr>
          <w:rFonts w:ascii="Times New Roman" w:hAnsi="Times New Roman"/>
          <w:i/>
          <w:iCs/>
          <w:szCs w:val="24"/>
          <w:lang w:val="it-IT"/>
        </w:rPr>
        <w:t>”Ou loub e r’agnè” – Du mentonnais d’aujourdhui au mentonnais d’hier</w:t>
      </w:r>
      <w:r>
        <w:rPr>
          <w:rFonts w:ascii="Times New Roman" w:hAnsi="Times New Roman"/>
          <w:szCs w:val="24"/>
          <w:lang w:val="it-IT"/>
        </w:rPr>
        <w:t xml:space="preserve">. In: ALD (éd.), </w:t>
      </w:r>
      <w:r>
        <w:rPr>
          <w:rFonts w:ascii="Times New Roman" w:hAnsi="Times New Roman"/>
          <w:szCs w:val="24"/>
          <w:lang w:val="it-IT"/>
        </w:rPr>
        <w:tab/>
      </w:r>
      <w:r w:rsidRPr="00F14F01">
        <w:rPr>
          <w:rFonts w:ascii="Times New Roman" w:hAnsi="Times New Roman"/>
          <w:i/>
          <w:iCs/>
          <w:szCs w:val="24"/>
          <w:lang w:val="it-IT"/>
        </w:rPr>
        <w:t>Actes du XVe Colloque des Langues Dialectales</w:t>
      </w:r>
      <w:r>
        <w:rPr>
          <w:rFonts w:ascii="Times New Roman" w:hAnsi="Times New Roman"/>
          <w:szCs w:val="24"/>
          <w:lang w:val="it-IT"/>
        </w:rPr>
        <w:t>, Monaco, éd. EGC, 15-33.</w:t>
      </w:r>
    </w:p>
    <w:p w14:paraId="5D1806EE" w14:textId="77777777" w:rsidR="009F2C1A" w:rsidRDefault="009F2C1A" w:rsidP="009F2C1A">
      <w:pPr>
        <w:ind w:right="-472"/>
        <w:rPr>
          <w:rFonts w:ascii="Times" w:hAnsi="Times"/>
          <w:szCs w:val="24"/>
          <w:lang w:val="it-IT"/>
        </w:rPr>
      </w:pPr>
    </w:p>
    <w:p w14:paraId="7DCEB24C" w14:textId="77777777" w:rsidR="009F2C1A" w:rsidRDefault="009F2C1A" w:rsidP="009F2C1A">
      <w:pPr>
        <w:ind w:right="-472"/>
        <w:rPr>
          <w:rFonts w:ascii="Times" w:hAnsi="Times"/>
          <w:szCs w:val="24"/>
          <w:lang w:val="it-IT"/>
        </w:rPr>
      </w:pPr>
      <w:r>
        <w:rPr>
          <w:rFonts w:ascii="Times" w:hAnsi="Times"/>
          <w:szCs w:val="24"/>
          <w:lang w:val="it-IT"/>
        </w:rPr>
        <w:t>2019</w:t>
      </w:r>
    </w:p>
    <w:p w14:paraId="7D9B05A4" w14:textId="77777777" w:rsidR="009F2C1A" w:rsidRDefault="009F2C1A" w:rsidP="009F2C1A">
      <w:pPr>
        <w:ind w:right="-472"/>
        <w:rPr>
          <w:rFonts w:ascii="Times" w:hAnsi="Times"/>
          <w:szCs w:val="24"/>
          <w:lang w:val="it-IT"/>
        </w:rPr>
      </w:pPr>
      <w:r w:rsidRPr="00AB6C2E">
        <w:rPr>
          <w:rFonts w:ascii="Times" w:hAnsi="Times"/>
          <w:i/>
          <w:szCs w:val="24"/>
          <w:lang w:val="it-IT"/>
        </w:rPr>
        <w:t>La situazione del ligure</w:t>
      </w:r>
      <w:r>
        <w:rPr>
          <w:rFonts w:ascii="Times" w:hAnsi="Times"/>
          <w:szCs w:val="24"/>
          <w:lang w:val="it-IT"/>
        </w:rPr>
        <w:t xml:space="preserve">. In: F. Toso (ed.), </w:t>
      </w:r>
      <w:r w:rsidRPr="00AB6C2E">
        <w:rPr>
          <w:rFonts w:ascii="Times" w:hAnsi="Times"/>
          <w:i/>
          <w:iCs/>
          <w:szCs w:val="24"/>
          <w:lang w:val="it-IT"/>
        </w:rPr>
        <w:t xml:space="preserve">Il patrimonio linguistico storico della Liguria. Attualità </w:t>
      </w:r>
      <w:r>
        <w:rPr>
          <w:rFonts w:ascii="Times" w:hAnsi="Times"/>
          <w:i/>
          <w:iCs/>
          <w:szCs w:val="24"/>
          <w:lang w:val="it-IT"/>
        </w:rPr>
        <w:tab/>
      </w:r>
      <w:r w:rsidRPr="00AB6C2E">
        <w:rPr>
          <w:rFonts w:ascii="Times" w:hAnsi="Times"/>
          <w:i/>
          <w:iCs/>
          <w:szCs w:val="24"/>
          <w:lang w:val="it-IT"/>
        </w:rPr>
        <w:t>e futuro. Raccolta di studi</w:t>
      </w:r>
      <w:r>
        <w:rPr>
          <w:rFonts w:ascii="Times" w:hAnsi="Times"/>
          <w:szCs w:val="24"/>
          <w:lang w:val="it-IT"/>
        </w:rPr>
        <w:t xml:space="preserve">. Savona, </w:t>
      </w:r>
      <w:r w:rsidRPr="00AB6C2E">
        <w:rPr>
          <w:rFonts w:ascii="Times" w:hAnsi="Times"/>
          <w:i/>
          <w:iCs/>
          <w:szCs w:val="24"/>
          <w:lang w:val="it-IT"/>
        </w:rPr>
        <w:t>In</w:t>
      </w:r>
      <w:r>
        <w:rPr>
          <w:rFonts w:ascii="Times" w:hAnsi="Times"/>
          <w:szCs w:val="24"/>
          <w:lang w:val="it-IT"/>
        </w:rPr>
        <w:t>Sedicesimo, 47-68.</w:t>
      </w:r>
    </w:p>
    <w:p w14:paraId="3F34647B" w14:textId="77777777" w:rsidR="009F2C1A" w:rsidRDefault="009F2C1A" w:rsidP="009F2C1A">
      <w:pPr>
        <w:ind w:right="-472"/>
        <w:rPr>
          <w:rFonts w:ascii="Times" w:hAnsi="Times"/>
          <w:szCs w:val="24"/>
          <w:lang w:val="it-IT"/>
        </w:rPr>
      </w:pPr>
    </w:p>
    <w:p w14:paraId="57FF9EEB" w14:textId="77777777" w:rsidR="009F2C1A" w:rsidRDefault="009F2C1A" w:rsidP="009F2C1A">
      <w:pPr>
        <w:ind w:right="-472"/>
        <w:rPr>
          <w:rFonts w:ascii="Times" w:hAnsi="Times"/>
          <w:szCs w:val="24"/>
          <w:lang w:val="it-IT"/>
        </w:rPr>
      </w:pPr>
      <w:r>
        <w:rPr>
          <w:rFonts w:ascii="Times" w:hAnsi="Times"/>
          <w:szCs w:val="24"/>
          <w:lang w:val="it-IT"/>
        </w:rPr>
        <w:t>2020</w:t>
      </w:r>
    </w:p>
    <w:p w14:paraId="04808E38" w14:textId="77777777" w:rsidR="009F2C1A" w:rsidRDefault="009F2C1A" w:rsidP="009F2C1A">
      <w:pPr>
        <w:ind w:right="-472"/>
        <w:rPr>
          <w:rFonts w:ascii="Times" w:hAnsi="Times"/>
          <w:szCs w:val="24"/>
          <w:lang w:val="it-IT"/>
        </w:rPr>
      </w:pPr>
      <w:r w:rsidRPr="00316B5E">
        <w:rPr>
          <w:rFonts w:ascii="Times" w:hAnsi="Times"/>
          <w:i/>
          <w:iCs/>
          <w:szCs w:val="24"/>
          <w:lang w:val="it-IT"/>
        </w:rPr>
        <w:t>Due pubblicazioni sul tendasco</w:t>
      </w:r>
      <w:r>
        <w:rPr>
          <w:rFonts w:ascii="Times" w:hAnsi="Times"/>
          <w:szCs w:val="24"/>
          <w:lang w:val="it-IT"/>
        </w:rPr>
        <w:t xml:space="preserve">. </w:t>
      </w:r>
    </w:p>
    <w:p w14:paraId="52DC9C96" w14:textId="77777777" w:rsidR="009F2C1A" w:rsidRDefault="009F2C1A" w:rsidP="009F2C1A">
      <w:pPr>
        <w:ind w:right="-472" w:firstLine="708"/>
        <w:rPr>
          <w:rFonts w:ascii="Times" w:hAnsi="Times"/>
          <w:szCs w:val="24"/>
          <w:lang w:val="it-IT"/>
        </w:rPr>
      </w:pPr>
      <w:r>
        <w:rPr>
          <w:rFonts w:ascii="Times" w:hAnsi="Times"/>
          <w:szCs w:val="24"/>
          <w:lang w:val="it-IT"/>
        </w:rPr>
        <w:t xml:space="preserve">In: A Vastéra 68, 34-35 ( = CR.:  Trad. Picin Prinsi + M-E. Guido, </w:t>
      </w:r>
      <w:r w:rsidRPr="00316B5E">
        <w:rPr>
          <w:rFonts w:ascii="Times" w:hAnsi="Times"/>
          <w:i/>
          <w:iCs/>
          <w:szCs w:val="24"/>
          <w:lang w:val="it-IT"/>
        </w:rPr>
        <w:t>Legiu e scrivu</w:t>
      </w:r>
      <w:r>
        <w:rPr>
          <w:rFonts w:ascii="Times" w:hAnsi="Times"/>
          <w:i/>
          <w:iCs/>
          <w:szCs w:val="24"/>
          <w:lang w:val="it-IT"/>
        </w:rPr>
        <w:t xml:space="preserve"> </w:t>
      </w:r>
      <w:r>
        <w:rPr>
          <w:rFonts w:ascii="Times" w:hAnsi="Times"/>
          <w:szCs w:val="24"/>
          <w:lang w:val="it-IT"/>
        </w:rPr>
        <w:t>)</w:t>
      </w:r>
    </w:p>
    <w:p w14:paraId="747000B4" w14:textId="77777777" w:rsidR="009F2C1A" w:rsidRDefault="009F2C1A" w:rsidP="009F2C1A">
      <w:pPr>
        <w:ind w:right="-472"/>
        <w:rPr>
          <w:rFonts w:ascii="Times" w:hAnsi="Times"/>
          <w:szCs w:val="24"/>
          <w:lang w:val="it-IT"/>
        </w:rPr>
      </w:pPr>
    </w:p>
    <w:p w14:paraId="07D7EDE8" w14:textId="03D8DC6E" w:rsidR="009F2C1A" w:rsidRDefault="00AB3CE2">
      <w:r>
        <w:t>2021</w:t>
      </w:r>
      <w:r w:rsidR="00285AC2">
        <w:t xml:space="preserve">     ( en cours de publication : )</w:t>
      </w:r>
    </w:p>
    <w:p w14:paraId="41AAC4E5" w14:textId="6D9E0D18" w:rsidR="00285AC2" w:rsidRPr="00285AC2" w:rsidRDefault="00285AC2" w:rsidP="00285AC2">
      <w:pPr>
        <w:rPr>
          <w:szCs w:val="24"/>
          <w:lang w:val="fr-FR"/>
        </w:rPr>
      </w:pPr>
      <w:r w:rsidRPr="00285AC2">
        <w:rPr>
          <w:i/>
          <w:szCs w:val="24"/>
          <w:lang w:val="fr-FR"/>
        </w:rPr>
        <w:t>Morphologie comparée</w:t>
      </w:r>
      <w:r>
        <w:rPr>
          <w:i/>
          <w:szCs w:val="24"/>
          <w:lang w:val="fr-FR"/>
        </w:rPr>
        <w:t xml:space="preserve"> </w:t>
      </w:r>
      <w:r w:rsidRPr="00285AC2">
        <w:rPr>
          <w:i/>
          <w:szCs w:val="24"/>
          <w:lang w:val="fr-FR"/>
        </w:rPr>
        <w:t>du mentonnais</w:t>
      </w:r>
      <w:r w:rsidRPr="00285AC2">
        <w:rPr>
          <w:i/>
          <w:szCs w:val="24"/>
          <w:lang w:val="fr-FR"/>
        </w:rPr>
        <w:fldChar w:fldCharType="begin"/>
      </w:r>
      <w:r w:rsidRPr="00285AC2">
        <w:rPr>
          <w:i/>
          <w:szCs w:val="24"/>
        </w:rPr>
        <w:instrText xml:space="preserve"> XE "</w:instrText>
      </w:r>
      <w:r w:rsidRPr="00285AC2">
        <w:rPr>
          <w:i/>
          <w:szCs w:val="24"/>
          <w:lang w:val="fr-FR"/>
        </w:rPr>
        <w:instrText>mentonnais</w:instrText>
      </w:r>
      <w:r w:rsidRPr="00285AC2">
        <w:rPr>
          <w:i/>
          <w:szCs w:val="24"/>
        </w:rPr>
        <w:instrText xml:space="preserve">" </w:instrText>
      </w:r>
      <w:r w:rsidRPr="00285AC2">
        <w:rPr>
          <w:i/>
          <w:szCs w:val="24"/>
          <w:lang w:val="fr-FR"/>
        </w:rPr>
        <w:fldChar w:fldCharType="end"/>
      </w:r>
      <w:r w:rsidRPr="00285AC2">
        <w:rPr>
          <w:i/>
          <w:szCs w:val="24"/>
          <w:lang w:val="fr-FR"/>
        </w:rPr>
        <w:t xml:space="preserve"> et du ligurien</w:t>
      </w:r>
      <w:r w:rsidRPr="00285AC2">
        <w:rPr>
          <w:i/>
          <w:szCs w:val="24"/>
          <w:lang w:val="fr-FR"/>
        </w:rPr>
        <w:fldChar w:fldCharType="begin"/>
      </w:r>
      <w:r w:rsidRPr="00285AC2">
        <w:rPr>
          <w:i/>
          <w:szCs w:val="24"/>
        </w:rPr>
        <w:instrText xml:space="preserve"> XE "</w:instrText>
      </w:r>
      <w:r w:rsidRPr="00285AC2">
        <w:rPr>
          <w:i/>
          <w:szCs w:val="24"/>
          <w:lang w:val="fr-FR"/>
        </w:rPr>
        <w:instrText>ligurien</w:instrText>
      </w:r>
      <w:r w:rsidRPr="00285AC2">
        <w:rPr>
          <w:i/>
          <w:szCs w:val="24"/>
        </w:rPr>
        <w:instrText xml:space="preserve">" </w:instrText>
      </w:r>
      <w:r w:rsidRPr="00285AC2">
        <w:rPr>
          <w:i/>
          <w:szCs w:val="24"/>
          <w:lang w:val="fr-FR"/>
        </w:rPr>
        <w:fldChar w:fldCharType="end"/>
      </w:r>
      <w:r w:rsidRPr="00285AC2">
        <w:rPr>
          <w:i/>
          <w:szCs w:val="24"/>
          <w:lang w:val="fr-FR"/>
        </w:rPr>
        <w:t xml:space="preserve"> alpin</w:t>
      </w:r>
      <w:r>
        <w:rPr>
          <w:i/>
          <w:szCs w:val="24"/>
          <w:lang w:val="fr-FR"/>
        </w:rPr>
        <w:t xml:space="preserve">. </w:t>
      </w:r>
      <w:r w:rsidRPr="00285AC2">
        <w:rPr>
          <w:i/>
          <w:szCs w:val="24"/>
          <w:lang w:val="fr-FR"/>
        </w:rPr>
        <w:fldChar w:fldCharType="begin"/>
      </w:r>
      <w:r w:rsidRPr="00285AC2">
        <w:rPr>
          <w:i/>
          <w:szCs w:val="24"/>
        </w:rPr>
        <w:instrText xml:space="preserve"> XE "</w:instrText>
      </w:r>
      <w:r w:rsidRPr="00285AC2">
        <w:rPr>
          <w:i/>
          <w:szCs w:val="24"/>
          <w:lang w:val="fr-FR"/>
        </w:rPr>
        <w:instrText>ligurien alpin:</w:instrText>
      </w:r>
      <w:r w:rsidRPr="00285AC2">
        <w:rPr>
          <w:i/>
          <w:szCs w:val="24"/>
        </w:rPr>
        <w:instrText xml:space="preserve">liguro-alpin" </w:instrText>
      </w:r>
      <w:r w:rsidRPr="00285AC2">
        <w:rPr>
          <w:i/>
          <w:szCs w:val="24"/>
          <w:lang w:val="fr-FR"/>
        </w:rPr>
        <w:fldChar w:fldCharType="end"/>
      </w:r>
      <w:r w:rsidRPr="00285AC2">
        <w:rPr>
          <w:i/>
          <w:szCs w:val="24"/>
          <w:lang w:val="fr-FR"/>
        </w:rPr>
        <w:t xml:space="preserve">Analyse synchronique et essai de </w:t>
      </w:r>
      <w:r>
        <w:rPr>
          <w:i/>
          <w:szCs w:val="24"/>
          <w:lang w:val="fr-FR"/>
        </w:rPr>
        <w:tab/>
      </w:r>
      <w:r w:rsidRPr="00285AC2">
        <w:rPr>
          <w:i/>
          <w:szCs w:val="24"/>
          <w:lang w:val="fr-FR"/>
        </w:rPr>
        <w:t>reconstruction</w:t>
      </w:r>
      <w:r>
        <w:rPr>
          <w:i/>
          <w:szCs w:val="24"/>
          <w:lang w:val="fr-FR"/>
        </w:rPr>
        <w:t xml:space="preserve">. </w:t>
      </w:r>
      <w:r>
        <w:rPr>
          <w:szCs w:val="24"/>
          <w:lang w:val="fr-FR"/>
        </w:rPr>
        <w:t xml:space="preserve"> (Beihefte ZrP</w:t>
      </w:r>
      <w:r w:rsidR="002526B3">
        <w:rPr>
          <w:szCs w:val="24"/>
          <w:lang w:val="fr-FR"/>
        </w:rPr>
        <w:t> ; env. 330 pp.</w:t>
      </w:r>
      <w:bookmarkStart w:id="0" w:name="_GoBack"/>
      <w:bookmarkEnd w:id="0"/>
      <w:r>
        <w:rPr>
          <w:szCs w:val="24"/>
          <w:lang w:val="fr-FR"/>
        </w:rPr>
        <w:t>).</w:t>
      </w:r>
    </w:p>
    <w:p w14:paraId="318D2C4C" w14:textId="53EF0F3C" w:rsidR="00285AC2" w:rsidRPr="00285AC2" w:rsidRDefault="00285AC2" w:rsidP="00285AC2">
      <w:pPr>
        <w:rPr>
          <w:szCs w:val="24"/>
          <w:lang w:val="fr-FR"/>
        </w:rPr>
      </w:pPr>
      <w:r w:rsidRPr="00285AC2">
        <w:rPr>
          <w:szCs w:val="24"/>
          <w:lang w:val="fr-FR"/>
        </w:rPr>
        <w:tab/>
        <w:t>Berlin</w:t>
      </w:r>
      <w:r>
        <w:rPr>
          <w:szCs w:val="24"/>
          <w:lang w:val="fr-FR"/>
        </w:rPr>
        <w:t>, De Gruyter  (oct. 2021)</w:t>
      </w:r>
    </w:p>
    <w:p w14:paraId="04A1F105" w14:textId="77777777" w:rsidR="00285AC2" w:rsidRPr="00285AC2" w:rsidRDefault="00285AC2">
      <w:pPr>
        <w:rPr>
          <w:i/>
          <w:szCs w:val="24"/>
        </w:rPr>
      </w:pPr>
    </w:p>
    <w:sectPr w:rsidR="00285AC2" w:rsidRPr="00285AC2" w:rsidSect="00650E2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1A"/>
    <w:rsid w:val="0021031C"/>
    <w:rsid w:val="00230A01"/>
    <w:rsid w:val="002526B3"/>
    <w:rsid w:val="00285AC2"/>
    <w:rsid w:val="002A5727"/>
    <w:rsid w:val="00650E2E"/>
    <w:rsid w:val="009F2C1A"/>
    <w:rsid w:val="00A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2F1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2C1A"/>
    <w:rPr>
      <w:rFonts w:ascii="New York" w:eastAsia="Times New Roman" w:hAnsi="New York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230A01"/>
    <w:rPr>
      <w:rFonts w:ascii="Times New Roman" w:eastAsiaTheme="minorEastAsia" w:hAnsi="Times New Roman" w:cstheme="minorBidi"/>
      <w:sz w:val="20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230A01"/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2C1A"/>
    <w:rPr>
      <w:rFonts w:ascii="New York" w:eastAsia="Times New Roman" w:hAnsi="New York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230A01"/>
    <w:rPr>
      <w:rFonts w:ascii="Times New Roman" w:eastAsiaTheme="minorEastAsia" w:hAnsi="Times New Roman" w:cstheme="minorBidi"/>
      <w:sz w:val="20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230A0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Forner</dc:creator>
  <cp:keywords/>
  <dc:description/>
  <cp:lastModifiedBy>Werner Forner</cp:lastModifiedBy>
  <cp:revision>5</cp:revision>
  <dcterms:created xsi:type="dcterms:W3CDTF">2021-05-11T10:34:00Z</dcterms:created>
  <dcterms:modified xsi:type="dcterms:W3CDTF">2021-05-12T09:14:00Z</dcterms:modified>
</cp:coreProperties>
</file>